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Assignment for Week 6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Oscillators, Bollinger Bands &amp; Fibonacci </w:t>
      </w:r>
    </w:p>
    <w:p w:rsidR="00000000" w:rsidDel="00000000" w:rsidP="00000000" w:rsidRDefault="00000000" w:rsidRPr="00000000" w14:paraId="00000003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Choose the correct answer by </w:t>
      </w:r>
      <w:r w:rsidDel="00000000" w:rsidR="00000000" w:rsidRPr="00000000">
        <w:rPr>
          <w:b w:val="1"/>
          <w:i w:val="1"/>
          <w:sz w:val="26"/>
          <w:szCs w:val="26"/>
          <w:highlight w:val="yellow"/>
          <w:rtl w:val="0"/>
        </w:rPr>
        <w:t xml:space="preserve">highlighting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Oscillators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 1.</w:t>
      </w:r>
      <w:r w:rsidDel="00000000" w:rsidR="00000000" w:rsidRPr="00000000">
        <w:rPr>
          <w:b w:val="1"/>
          <w:rtl w:val="0"/>
        </w:rPr>
        <w:t xml:space="preserve"> Relative Strength Index (RSI)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 The Relative Strength Index (RSI) typically uses a lookback period of: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a) 7 days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b) 14 days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c) 30 days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d) 50 days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 An RSI value above 70 typically indicates: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a) Overbought conditions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b) Oversold conditions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c) Bullish momentum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d) Bearish momentum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 Which value of RSI is typically considered oversold?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a) Below 70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b) Below 50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c) Below 30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d) Below 10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4. A divergence between RSI and price movement is often considered a signal of: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a) Continuation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b) Reversal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c) Breakout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d) Trend strengthening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5. RSI is classified as which type of indicator?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a) Trend-following indicator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b) Volatility indicator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c) Momentum oscillator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d) Volume-based indicator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  <w:t xml:space="preserve"> 2. </w:t>
      </w:r>
      <w:r w:rsidDel="00000000" w:rsidR="00000000" w:rsidRPr="00000000">
        <w:rPr>
          <w:b w:val="1"/>
          <w:rtl w:val="0"/>
        </w:rPr>
        <w:t xml:space="preserve">MACD (Moving Average Convergence Divergence)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6. MACD is the difference between which two moving averages?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a) 9-day EMA and 12-day EMA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b) 12-day EMA and 26-day EMA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c) 9-day EMA and 21-day EMA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d) 26-day EMA and 50-day EMA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7. A buy signal in MACD is typically generated when: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a) The MACD line crosses above the signal line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b) The MACD histogram is below zero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c) The price is above the MACD line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d) The RSI is above 70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8. The MACD histogram represents the difference between: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a) The price and the MACD line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b) MACD line and signal line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c) MACD line and RSI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d) MACD line and moving averages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9. A bearish MACD signal occurs when: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a) The MACD line crosses below the signal line 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b) The MACD histogram is positive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c) The RSI is below 30 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d) Price is above the pivot point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10. The signal line in MACD is: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a) A 9-period moving average of the MACD line 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b) A 14-period simple moving average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c) A 20-period exponential moving average 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d) A 50-period weighted moving average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Bollinger Bands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11. What do Bollinger Bands primarily measure?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- a) Volume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- b) Trend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- c) Volatility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- d) Momentum 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12. Bollinger Bands typically consist of how many lines?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- a) One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- b) Two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- c) Three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- d) Four 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13. The default setting for the standard deviation in Bollinger Bands is: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- a) 1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- b) 2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- c) 1.5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- d) 2.5 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14. What is the middle line in Bollinger Bands?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- a) 50-day Moving Average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- b) 100-day Moving Average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- c) Exponential Moving Average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 - d) Simple Moving Average 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15. When the price touches the upper Bollinger Band, it is often considered: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- a) Overbought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- b) Oversold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- c) In a downtrend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- d) In a flat trend 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16. Bollinger Bands are most effective when: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- a) The market is trending strongly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- b) The market is in a range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- c) The market is highly volatile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- d) The market is stagnant 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17. A "Bollinger Squeeze" indicates: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- a) A potential breakout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- b) Market exhaustion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- c) A continuation of the trend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- d) A reversal 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18. Bollinger Bands widen when: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- a) The market is less volatile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- b) The market is more volatile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- c) Volume decreases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- d) Volume increases 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b w:val="1"/>
          <w:rtl w:val="0"/>
        </w:rPr>
        <w:t xml:space="preserve">Fibonacci Retracement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19. Which of the following are common Fibonacci retracement levels?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- a) 10%, 20%, 50%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- b) 23.6%, 38.2%, 61.8%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- c) 25%, 50%, 75%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- d) 15%, 30%, 45% 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20. Fibonacci retracement levels are used to: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- a) Identify trend direction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- b) Identify support and resistance levels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- c) Measure market volume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- d) Calculate moving averages 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21. What is the most commonly used Fibonacci retracement level that indicates a potential deep correction?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- a) 23.6%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- b) 50%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- c) 61.8%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- d) 76.4% 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22. Fibonacci levels are derived from the Fibonacci sequence, where each number is the sum of: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- a) Two preceding numbers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- b) Three preceding numbers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- c) Four preceding numbers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- d) The current price and previous price 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23. When drawing Fibonacci retracement on a downtrend, you start from the: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- a) Lowest point to highest point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- b) Highest point to lowest point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- c) Middle point of the trend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  - d) End of the trend 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24. A reversal from the 38.2% Fibonacci retracement level suggests: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- a) A shallow pullback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- b) A deep correction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- c) A strong breakout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- d) A continuation of the trend 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25. What combination of technical tools works best with Fibonacci retracement for confirmation?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 - a) Bollinger Bands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 - b) Moving Averages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 - c) MACD and RSI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   - d) Volume analysis  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